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251"/>
        <w:gridCol w:w="20"/>
      </w:tblGrid>
      <w:tr w:rsidR="00C0587E" w:rsidRPr="00F40E02" w:rsidTr="00E505A9">
        <w:trPr>
          <w:gridAfter w:val="1"/>
          <w:wAfter w:w="20" w:type="dxa"/>
          <w:trHeight w:val="1548"/>
        </w:trPr>
        <w:tc>
          <w:tcPr>
            <w:tcW w:w="9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E8470C" w:rsidRDefault="00C0587E" w:rsidP="00E505A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8470C">
              <w:rPr>
                <w:rFonts w:ascii="Times New Roman" w:hAnsi="Times New Roman"/>
                <w:szCs w:val="24"/>
              </w:rPr>
              <w:t>Connecting to the Next Generation Science Standards (NGSS Lead States 2013)</w:t>
            </w:r>
          </w:p>
          <w:p w:rsidR="00C0587E" w:rsidRDefault="00C0587E" w:rsidP="00E505A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8470C">
              <w:rPr>
                <w:rFonts w:ascii="Times New Roman" w:hAnsi="Times New Roman"/>
                <w:szCs w:val="24"/>
              </w:rPr>
              <w:t>3-</w:t>
            </w:r>
            <w:proofErr w:type="gramStart"/>
            <w:r w:rsidRPr="00E8470C">
              <w:rPr>
                <w:rFonts w:ascii="Times New Roman" w:hAnsi="Times New Roman"/>
                <w:szCs w:val="24"/>
              </w:rPr>
              <w:t>5.Engineering</w:t>
            </w:r>
            <w:proofErr w:type="gramEnd"/>
            <w:r w:rsidRPr="00E8470C">
              <w:rPr>
                <w:rFonts w:ascii="Times New Roman" w:hAnsi="Times New Roman"/>
                <w:szCs w:val="24"/>
              </w:rPr>
              <w:t xml:space="preserve"> Design</w:t>
            </w:r>
          </w:p>
          <w:p w:rsidR="00C0587E" w:rsidRPr="00E8470C" w:rsidRDefault="00974977" w:rsidP="00E505A9">
            <w:pPr>
              <w:pStyle w:val="NormalWeb"/>
              <w:spacing w:before="2" w:after="2" w:line="360" w:lineRule="auto"/>
              <w:jc w:val="both"/>
              <w:rPr>
                <w:rFonts w:eastAsiaTheme="minorHAnsi"/>
                <w:i/>
                <w:iCs/>
                <w:sz w:val="22"/>
              </w:rPr>
            </w:pPr>
            <w:hyperlink r:id="rId7" w:history="1">
              <w:r w:rsidR="00C0587E" w:rsidRPr="00E8470C">
                <w:rPr>
                  <w:rStyle w:val="Hyperlink"/>
                  <w:rFonts w:eastAsiaTheme="minorHAnsi"/>
                  <w:i/>
                  <w:iCs/>
                  <w:sz w:val="22"/>
                </w:rPr>
                <w:t>https://www.nextgenscience.org/topic-arrangement/3-5engineering-design</w:t>
              </w:r>
            </w:hyperlink>
          </w:p>
          <w:p w:rsidR="00C0587E" w:rsidRPr="00F40E02" w:rsidRDefault="00C0587E" w:rsidP="00E505A9">
            <w:pPr>
              <w:pStyle w:val="NormalWeb"/>
              <w:spacing w:before="2" w:after="2" w:line="360" w:lineRule="auto"/>
              <w:jc w:val="both"/>
              <w:rPr>
                <w:rFonts w:eastAsiaTheme="minorHAnsi"/>
                <w:color w:val="000000"/>
                <w:sz w:val="22"/>
              </w:rPr>
            </w:pPr>
            <w:r w:rsidRPr="00F40E02">
              <w:rPr>
                <w:sz w:val="22"/>
              </w:rPr>
              <w:t xml:space="preserve">The chart below makes one set of connections between the instruction outlined in this article and the </w:t>
            </w:r>
            <w:r w:rsidRPr="00F40E02">
              <w:rPr>
                <w:i/>
                <w:sz w:val="22"/>
              </w:rPr>
              <w:t>NGSS</w:t>
            </w:r>
            <w:r w:rsidRPr="00F40E02">
              <w:rPr>
                <w:sz w:val="22"/>
              </w:rPr>
              <w:t>. Other valid connections are likely; however, space restrictions prevent us from listing all possibilities. The materials, lessons, and activities outlined in the article are just one step toward reaching the performance expectation listed below</w:t>
            </w:r>
            <w:r w:rsidRPr="00F40E02">
              <w:rPr>
                <w:rFonts w:eastAsiaTheme="minorHAnsi"/>
                <w:color w:val="000000"/>
                <w:sz w:val="22"/>
              </w:rPr>
              <w:t>.</w:t>
            </w:r>
          </w:p>
          <w:p w:rsidR="00C0587E" w:rsidRPr="00195099" w:rsidRDefault="00C0587E" w:rsidP="00E505A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Performance Expectation: </w:t>
            </w:r>
            <w:r w:rsidRPr="00E8470C">
              <w:rPr>
                <w:rFonts w:ascii="Times New Roman" w:hAnsi="Times New Roman"/>
              </w:rPr>
              <w:t>3-5-ETS1-2</w:t>
            </w:r>
            <w:r>
              <w:rPr>
                <w:rFonts w:ascii="Times New Roman" w:hAnsi="Times New Roman"/>
              </w:rPr>
              <w:t>.</w:t>
            </w:r>
            <w:r w:rsidRPr="00E8470C">
              <w:rPr>
                <w:rFonts w:ascii="Times New Roman" w:hAnsi="Times New Roman"/>
              </w:rPr>
              <w:t xml:space="preserve"> </w:t>
            </w:r>
            <w:r w:rsidRPr="00E8470C">
              <w:rPr>
                <w:rStyle w:val="popup"/>
                <w:rFonts w:ascii="Times New Roman" w:hAnsi="Times New Roman"/>
              </w:rPr>
              <w:t>Generate and compare multiple possible solutions</w:t>
            </w:r>
            <w:r w:rsidRPr="00E8470C">
              <w:rPr>
                <w:rFonts w:ascii="Times New Roman" w:hAnsi="Times New Roman"/>
              </w:rPr>
              <w:t xml:space="preserve"> </w:t>
            </w:r>
            <w:r w:rsidRPr="00E8470C">
              <w:rPr>
                <w:rStyle w:val="popup"/>
                <w:rFonts w:ascii="Times New Roman" w:hAnsi="Times New Roman"/>
              </w:rPr>
              <w:t>to a problem</w:t>
            </w:r>
            <w:r w:rsidRPr="00E8470C">
              <w:rPr>
                <w:rFonts w:ascii="Times New Roman" w:hAnsi="Times New Roman"/>
              </w:rPr>
              <w:t xml:space="preserve"> </w:t>
            </w:r>
            <w:r w:rsidRPr="00E8470C">
              <w:rPr>
                <w:rStyle w:val="popup"/>
                <w:rFonts w:ascii="Times New Roman" w:hAnsi="Times New Roman"/>
              </w:rPr>
              <w:t>based on how well each is likely to meet the criteria and constraints of the problem.</w:t>
            </w:r>
          </w:p>
        </w:tc>
      </w:tr>
      <w:tr w:rsidR="00C0587E" w:rsidRPr="00F40E02" w:rsidTr="00E505A9">
        <w:trPr>
          <w:gridAfter w:val="1"/>
          <w:wAfter w:w="20" w:type="dxa"/>
          <w:trHeight w:val="442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4"/>
              </w:rPr>
            </w:pPr>
            <w:r w:rsidRPr="00F40E02">
              <w:rPr>
                <w:rFonts w:ascii="Times New Roman" w:hAnsi="Times New Roman"/>
                <w:bCs/>
                <w:iCs/>
                <w:color w:val="000000"/>
                <w:szCs w:val="24"/>
              </w:rPr>
              <w:t>Dimension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F40E02">
              <w:rPr>
                <w:rFonts w:ascii="Times New Roman" w:hAnsi="Times New Roman"/>
                <w:szCs w:val="24"/>
              </w:rPr>
              <w:t>Connections to Classroom Activity</w:t>
            </w:r>
          </w:p>
        </w:tc>
      </w:tr>
      <w:tr w:rsidR="00C0587E" w:rsidRPr="00F40E02" w:rsidTr="00E505A9">
        <w:trPr>
          <w:trHeight w:val="368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F40E02">
              <w:rPr>
                <w:rFonts w:ascii="Times New Roman" w:hAnsi="Times New Roman"/>
                <w:szCs w:val="24"/>
              </w:rPr>
              <w:t>Science and Engineering Practice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587E" w:rsidRPr="00F40E02" w:rsidRDefault="00C0587E" w:rsidP="00E505A9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C0587E" w:rsidRPr="00F40E02" w:rsidTr="00E505A9">
        <w:trPr>
          <w:gridAfter w:val="1"/>
          <w:wAfter w:w="20" w:type="dxa"/>
          <w:trHeight w:val="1126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Default="00C0587E" w:rsidP="00E505A9">
            <w:pPr>
              <w:spacing w:after="16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2A794E">
              <w:rPr>
                <w:rFonts w:ascii="Times New Roman" w:hAnsi="Times New Roman"/>
                <w:color w:val="000000"/>
                <w:szCs w:val="24"/>
              </w:rPr>
              <w:t>Constructing Explanations and Designing Solutions</w:t>
            </w:r>
          </w:p>
          <w:p w:rsidR="00974977" w:rsidRPr="00974977" w:rsidRDefault="00974977" w:rsidP="00974977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r w:rsidRPr="00974977">
              <w:rPr>
                <w:rFonts w:ascii="Times New Roman" w:hAnsi="Times New Roman" w:cs="Times New Roman"/>
                <w:sz w:val="24"/>
                <w:szCs w:val="24"/>
              </w:rPr>
              <w:t>Generate and compare multiple solutions to a problem based on how well they meet the criteria and constraints of the design problem.</w:t>
            </w:r>
            <w:bookmarkEnd w:id="0"/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587E" w:rsidRPr="00F40E02" w:rsidRDefault="00C0587E" w:rsidP="00E505A9">
            <w:pPr>
              <w:spacing w:line="360" w:lineRule="auto"/>
              <w:ind w:left="9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Students generated multiple solutions to the packing, landing, and roving challenges. Students developed explanatory justifications for how their solutions met, or failed to meet, criteria for success.</w:t>
            </w:r>
          </w:p>
        </w:tc>
      </w:tr>
      <w:tr w:rsidR="00C0587E" w:rsidRPr="00F40E02" w:rsidTr="00E505A9">
        <w:trPr>
          <w:gridAfter w:val="1"/>
          <w:wAfter w:w="20" w:type="dxa"/>
          <w:trHeight w:val="316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40E02">
              <w:rPr>
                <w:rFonts w:ascii="Times New Roman" w:hAnsi="Times New Roman"/>
                <w:szCs w:val="24"/>
              </w:rPr>
              <w:t>Disciplinary Core Idea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0587E" w:rsidRPr="00F40E02" w:rsidTr="00E505A9">
        <w:trPr>
          <w:gridAfter w:val="1"/>
          <w:wAfter w:w="20" w:type="dxa"/>
          <w:trHeight w:val="838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BC33BC" w:rsidRDefault="00C0587E" w:rsidP="00E505A9">
            <w:pPr>
              <w:spacing w:after="16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C33BC">
              <w:rPr>
                <w:rFonts w:ascii="Times New Roman" w:hAnsi="Times New Roman"/>
                <w:b/>
                <w:bCs/>
                <w:szCs w:val="24"/>
              </w:rPr>
              <w:lastRenderedPageBreak/>
              <w:t>ETS1.A: Defining and Delimiting Engineering Problems</w:t>
            </w:r>
          </w:p>
          <w:p w:rsidR="00C0587E" w:rsidRPr="00BC33BC" w:rsidRDefault="00C0587E" w:rsidP="00C0587E"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/>
                <w:szCs w:val="24"/>
              </w:rPr>
            </w:pPr>
            <w:r w:rsidRPr="00BC33BC">
              <w:rPr>
                <w:rFonts w:ascii="Times New Roman" w:hAnsi="Times New Roman"/>
                <w:szCs w:val="24"/>
              </w:rPr>
              <w:t>Possible solutions to a problem are limited by available materials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33BC">
              <w:rPr>
                <w:rFonts w:ascii="Times New Roman" w:hAnsi="Times New Roman"/>
                <w:szCs w:val="24"/>
              </w:rPr>
              <w:t>and resources (constraints). The success of a designed solution is determined by considering the desired features of a solution (criteria). Different proposals for solutions can be compared on the basis of how well each one meets the specified criteria for success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33BC">
              <w:rPr>
                <w:rFonts w:ascii="Times New Roman" w:hAnsi="Times New Roman"/>
                <w:szCs w:val="24"/>
              </w:rPr>
              <w:t>or how well each takes the constraints into account.</w:t>
            </w:r>
          </w:p>
          <w:p w:rsidR="00C0587E" w:rsidRDefault="00C0587E" w:rsidP="00E505A9">
            <w:pPr>
              <w:spacing w:after="160"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C0587E" w:rsidRPr="00E56267" w:rsidRDefault="00C0587E" w:rsidP="00E505A9">
            <w:pPr>
              <w:spacing w:after="160"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E56267">
              <w:rPr>
                <w:rFonts w:ascii="Times New Roman" w:hAnsi="Times New Roman"/>
                <w:b/>
                <w:bCs/>
                <w:szCs w:val="24"/>
              </w:rPr>
              <w:t>ETS1.B: Developing Possible Solutions</w:t>
            </w:r>
          </w:p>
          <w:p w:rsidR="00C0587E" w:rsidRPr="00E42A09" w:rsidRDefault="00C0587E" w:rsidP="00C0587E"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At </w:t>
            </w:r>
            <w:r w:rsidRPr="00E56267">
              <w:rPr>
                <w:rFonts w:ascii="Times New Roman" w:hAnsi="Times New Roman"/>
                <w:szCs w:val="24"/>
              </w:rPr>
              <w:t>whatever stage, communicating with peers about proposed solutions is an important part of the design process, and shared ideas can lead to improved designs. (3-5-ETS1-2)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316E74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0587E" w:rsidRPr="00316E74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For each challenge students faced multiple constraints, like crew limitations for the packing challenge or NASA’s engineering and science criteria for choosing a landing site, and had the opportunity to propose multiple solutions and compare their solutions with others to see how well their solution took into account the mission constraints.</w:t>
            </w:r>
          </w:p>
          <w:p w:rsidR="00C0587E" w:rsidRPr="00316E74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0587E" w:rsidRPr="00316E74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Students made their thinking visible by sharing proposed solutions and explained their reasoning for how their proposed solutions fit NASA’s mission criteria.</w:t>
            </w:r>
          </w:p>
          <w:p w:rsidR="00C0587E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0587E" w:rsidRPr="00F40E02" w:rsidTr="00E505A9">
        <w:trPr>
          <w:gridAfter w:val="1"/>
          <w:wAfter w:w="20" w:type="dxa"/>
          <w:trHeight w:val="316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974977" w:rsidP="00974977">
            <w:pPr>
              <w:spacing w:after="16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974977">
              <w:rPr>
                <w:rFonts w:ascii="Times New Roman" w:hAnsi="Times New Roman" w:cs="Times New Roman"/>
                <w:b/>
                <w:sz w:val="24"/>
                <w:szCs w:val="24"/>
              </w:rPr>
              <w:t>Influence of Engineering,  Technology, and Science on Society and the Natural World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0587E" w:rsidRPr="00F40E02" w:rsidTr="00E505A9">
        <w:trPr>
          <w:gridAfter w:val="1"/>
          <w:wAfter w:w="20" w:type="dxa"/>
          <w:trHeight w:val="793"/>
        </w:trPr>
        <w:tc>
          <w:tcPr>
            <w:tcW w:w="3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977" w:rsidRPr="00974977" w:rsidRDefault="00974977" w:rsidP="00974977">
            <w:pPr>
              <w:spacing w:after="16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97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Engineers improve existing technologies or develop new ones to increase their benefits, decrease known risks, and meet societal demands.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87E" w:rsidRPr="00F40E02" w:rsidRDefault="00C0587E" w:rsidP="00E505A9">
            <w:pPr>
              <w:spacing w:after="16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Students developed their own mission plan to increase the scientific merit of their mission and used engineering-based systems thinking to decrease known risks to the humans and rovers.</w:t>
            </w:r>
          </w:p>
        </w:tc>
      </w:tr>
    </w:tbl>
    <w:p w:rsidR="00C0587E" w:rsidRDefault="00C0587E" w:rsidP="00C0587E">
      <w:pPr>
        <w:spacing w:line="360" w:lineRule="auto"/>
        <w:rPr>
          <w:rFonts w:ascii="Times New Roman" w:hAnsi="Times New Roman"/>
          <w:b/>
        </w:rPr>
      </w:pPr>
    </w:p>
    <w:p w:rsidR="00C0587E" w:rsidRDefault="00C0587E" w:rsidP="00C0587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Connections to the </w:t>
      </w:r>
      <w:r>
        <w:rPr>
          <w:rFonts w:ascii="Times New Roman" w:hAnsi="Times New Roman"/>
          <w:b/>
          <w:i/>
        </w:rPr>
        <w:t xml:space="preserve">Common Core State Standards </w:t>
      </w:r>
      <w:r>
        <w:rPr>
          <w:rFonts w:ascii="Times New Roman" w:hAnsi="Times New Roman"/>
          <w:b/>
        </w:rPr>
        <w:t>(NGAC and CCSSO 2010):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4968"/>
        <w:gridCol w:w="4572"/>
      </w:tblGrid>
      <w:tr w:rsidR="00C0587E" w:rsidTr="00E505A9">
        <w:tc>
          <w:tcPr>
            <w:tcW w:w="4968" w:type="dxa"/>
          </w:tcPr>
          <w:p w:rsidR="00C0587E" w:rsidRPr="00C16127" w:rsidRDefault="00C0587E" w:rsidP="00E505A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</w:rPr>
              <w:t>CCSS.</w:t>
            </w:r>
            <w:r w:rsidRPr="00C16127">
              <w:rPr>
                <w:rFonts w:ascii="Times New Roman" w:hAnsi="Times New Roman"/>
                <w:b/>
                <w:color w:val="000000" w:themeColor="text1"/>
              </w:rPr>
              <w:t>ELA</w:t>
            </w:r>
            <w:r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C1612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RI.5.9 </w:t>
            </w:r>
            <w:r w:rsidRPr="00C16127">
              <w:rPr>
                <w:rFonts w:ascii="Times New Roman" w:hAnsi="Times New Roman"/>
                <w:color w:val="000000" w:themeColor="text1"/>
              </w:rPr>
              <w:t>Integrate information from several texts on the same topic in order to write or speak about the subject knowledgeably.</w:t>
            </w:r>
          </w:p>
        </w:tc>
        <w:tc>
          <w:tcPr>
            <w:tcW w:w="4572" w:type="dxa"/>
          </w:tcPr>
          <w:p w:rsidR="00C0587E" w:rsidRPr="00C16127" w:rsidRDefault="00C0587E" w:rsidP="00E505A9">
            <w:pPr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Students</w:t>
            </w:r>
            <w:r w:rsidRPr="00C16127">
              <w:rPr>
                <w:rFonts w:ascii="Times New Roman" w:hAnsi="Times New Roman"/>
                <w:color w:val="000000" w:themeColor="text1"/>
              </w:rPr>
              <w:t xml:space="preserve"> read from high quality non-fiction books and NASA websites related to the exploration of Mars.</w:t>
            </w:r>
          </w:p>
          <w:p w:rsidR="00C0587E" w:rsidRPr="00C16127" w:rsidRDefault="00C0587E" w:rsidP="00E505A9">
            <w:pPr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0587E" w:rsidTr="00E505A9">
        <w:tc>
          <w:tcPr>
            <w:tcW w:w="4968" w:type="dxa"/>
          </w:tcPr>
          <w:p w:rsidR="00C0587E" w:rsidRDefault="00C0587E" w:rsidP="00E505A9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98242B">
              <w:rPr>
                <w:rFonts w:ascii="Times New Roman" w:hAnsi="Times New Roman"/>
                <w:b/>
              </w:rPr>
              <w:t>CCSS.Math.Practice.MP2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053D">
              <w:rPr>
                <w:rFonts w:ascii="Times New Roman" w:hAnsi="Times New Roman"/>
              </w:rPr>
              <w:t>Reason abstractly and quantitatively.</w:t>
            </w:r>
          </w:p>
        </w:tc>
        <w:tc>
          <w:tcPr>
            <w:tcW w:w="4572" w:type="dxa"/>
          </w:tcPr>
          <w:p w:rsidR="00C0587E" w:rsidRDefault="00C0587E" w:rsidP="00E505A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Students reasoned abstractly about the problems of generating a rover route on Mars and calculated their proposed route’s efficiency with respect to gathering scientific data.</w:t>
            </w:r>
          </w:p>
        </w:tc>
      </w:tr>
    </w:tbl>
    <w:p w:rsidR="00C0587E" w:rsidRPr="00567C76" w:rsidRDefault="00C0587E" w:rsidP="00C0587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C65" w:rsidRDefault="00824C65"/>
    <w:sectPr w:rsidR="00824C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4977">
      <w:pPr>
        <w:spacing w:after="0" w:line="240" w:lineRule="auto"/>
      </w:pPr>
      <w:r>
        <w:separator/>
      </w:r>
    </w:p>
  </w:endnote>
  <w:endnote w:type="continuationSeparator" w:id="0">
    <w:p w:rsidR="00000000" w:rsidRDefault="009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4977">
      <w:pPr>
        <w:spacing w:after="0" w:line="240" w:lineRule="auto"/>
      </w:pPr>
      <w:r>
        <w:separator/>
      </w:r>
    </w:p>
  </w:footnote>
  <w:footnote w:type="continuationSeparator" w:id="0">
    <w:p w:rsidR="00000000" w:rsidRDefault="009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7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0BB" w:rsidRDefault="00C058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40BB" w:rsidRDefault="00974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0EB"/>
    <w:multiLevelType w:val="multilevel"/>
    <w:tmpl w:val="2D3A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D7760"/>
    <w:multiLevelType w:val="hybridMultilevel"/>
    <w:tmpl w:val="C382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678"/>
    <w:multiLevelType w:val="hybridMultilevel"/>
    <w:tmpl w:val="6C2C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983"/>
    <w:multiLevelType w:val="hybridMultilevel"/>
    <w:tmpl w:val="A008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34B8"/>
    <w:multiLevelType w:val="hybridMultilevel"/>
    <w:tmpl w:val="8F34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7E"/>
    <w:rsid w:val="00824C65"/>
    <w:rsid w:val="00974977"/>
    <w:rsid w:val="00C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2510"/>
  <w15:chartTrackingRefBased/>
  <w15:docId w15:val="{8B1C745B-9292-4B50-AE06-618EDFE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7E"/>
    <w:pPr>
      <w:ind w:left="720"/>
      <w:contextualSpacing/>
    </w:pPr>
  </w:style>
  <w:style w:type="table" w:styleId="TableGrid">
    <w:name w:val="Table Grid"/>
    <w:basedOn w:val="TableNormal"/>
    <w:uiPriority w:val="59"/>
    <w:rsid w:val="00C0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">
    <w:name w:val="popup"/>
    <w:basedOn w:val="DefaultParagraphFont"/>
    <w:rsid w:val="00C0587E"/>
  </w:style>
  <w:style w:type="paragraph" w:styleId="Header">
    <w:name w:val="header"/>
    <w:basedOn w:val="Normal"/>
    <w:link w:val="HeaderChar"/>
    <w:uiPriority w:val="99"/>
    <w:unhideWhenUsed/>
    <w:rsid w:val="00C0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7E"/>
  </w:style>
  <w:style w:type="character" w:styleId="Hyperlink">
    <w:name w:val="Hyperlink"/>
    <w:basedOn w:val="DefaultParagraphFont"/>
    <w:uiPriority w:val="99"/>
    <w:unhideWhenUsed/>
    <w:rsid w:val="00C058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xtgenscience.org/topic-arrangement/3-5engineering-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2020-11-09T18:58:00Z</dcterms:created>
  <dcterms:modified xsi:type="dcterms:W3CDTF">2020-12-22T23:31:00Z</dcterms:modified>
</cp:coreProperties>
</file>